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2019 Central States Communication Association Conference: Dialogue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Communication Education Interest Group Business Meeting</w:t>
        <w:br w:type="textWrapping"/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Saturday, April 6, 2019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5:00-6:15 PM, Dakota (room), Doubletree Hilton, Omaha, NE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2160"/>
        </w:tabs>
        <w:ind w:left="2160" w:hanging="2160"/>
        <w:rPr/>
      </w:pPr>
      <w:r w:rsidDel="00000000" w:rsidR="00000000" w:rsidRPr="00000000">
        <w:rPr>
          <w:rtl w:val="0"/>
        </w:rPr>
        <w:t xml:space="preserve">Immediate past chair:  </w:t>
        <w:tab/>
        <w:t xml:space="preserve">Kathryn Golsan, Southern Illinois University Carbondale (planned 2018 conference)</w:t>
      </w:r>
    </w:p>
    <w:p w:rsidR="00000000" w:rsidDel="00000000" w:rsidP="00000000" w:rsidRDefault="00000000" w:rsidRPr="00000000" w14:paraId="00000007">
      <w:pPr>
        <w:tabs>
          <w:tab w:val="left" w:pos="2160"/>
        </w:tabs>
        <w:ind w:left="2160" w:hanging="2160"/>
        <w:rPr/>
      </w:pPr>
      <w:r w:rsidDel="00000000" w:rsidR="00000000" w:rsidRPr="00000000">
        <w:rPr>
          <w:rtl w:val="0"/>
        </w:rPr>
        <w:t xml:space="preserve">Chair:  </w:t>
        <w:tab/>
        <w:t xml:space="preserve">Sandy Pensoneau-Conway, Southern Illinois University Carbondale (planned 2019 conference)</w:t>
      </w:r>
    </w:p>
    <w:p w:rsidR="00000000" w:rsidDel="00000000" w:rsidP="00000000" w:rsidRDefault="00000000" w:rsidRPr="00000000" w14:paraId="00000008">
      <w:pPr>
        <w:tabs>
          <w:tab w:val="left" w:pos="2160"/>
        </w:tabs>
        <w:rPr/>
      </w:pPr>
      <w:r w:rsidDel="00000000" w:rsidR="00000000" w:rsidRPr="00000000">
        <w:rPr>
          <w:rtl w:val="0"/>
        </w:rPr>
        <w:t xml:space="preserve">Vice-chair:  </w:t>
        <w:tab/>
        <w:t xml:space="preserve">Nick Tatum, Abilene Christian University (will plan 2020 conference)</w:t>
      </w:r>
    </w:p>
    <w:p w:rsidR="00000000" w:rsidDel="00000000" w:rsidP="00000000" w:rsidRDefault="00000000" w:rsidRPr="00000000" w14:paraId="00000009">
      <w:pPr>
        <w:tabs>
          <w:tab w:val="left" w:pos="2160"/>
        </w:tabs>
        <w:rPr/>
      </w:pPr>
      <w:r w:rsidDel="00000000" w:rsidR="00000000" w:rsidRPr="00000000">
        <w:rPr>
          <w:rtl w:val="0"/>
        </w:rPr>
        <w:t xml:space="preserve">Secretary:  </w:t>
        <w:tab/>
        <w:t xml:space="preserve">Samantha Dunn, Illinois State University (will plan 2021 conference)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* * *</w:t>
      </w:r>
    </w:p>
    <w:p w:rsidR="00000000" w:rsidDel="00000000" w:rsidP="00000000" w:rsidRDefault="00000000" w:rsidRPr="00000000" w14:paraId="0000000C">
      <w:pPr>
        <w:rPr>
          <w:color w:val="1f497d"/>
        </w:rPr>
      </w:pPr>
      <w:r w:rsidDel="00000000" w:rsidR="00000000" w:rsidRPr="00000000">
        <w:rPr>
          <w:b w:val="1"/>
          <w:rtl w:val="0"/>
        </w:rPr>
        <w:t xml:space="preserve">I.  Call to order</w:t>
      </w:r>
      <w:r w:rsidDel="00000000" w:rsidR="00000000" w:rsidRPr="00000000">
        <w:rPr>
          <w:rtl w:val="0"/>
        </w:rPr>
        <w:t xml:space="preserve"> (Sandy Pensoneau-Conway)</w:t>
      </w:r>
      <w:r w:rsidDel="00000000" w:rsidR="00000000" w:rsidRPr="00000000">
        <w:rPr>
          <w:color w:val="1f497d"/>
          <w:rtl w:val="0"/>
        </w:rPr>
        <w:t xml:space="preserve"> In attendance – Allison Brenneise, Kyle Vareberg, Kyle Rudick, Nick Tatum, Sandra Pensoneau-Conway, Samantha Dunn, Adrienne Viramontes, Kathryn Golsan, Scott Meyers, </w:t>
      </w:r>
    </w:p>
    <w:p w:rsidR="00000000" w:rsidDel="00000000" w:rsidP="00000000" w:rsidRDefault="00000000" w:rsidRPr="00000000" w14:paraId="0000000D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color w:val="1f497d"/>
        </w:rPr>
      </w:pPr>
      <w:r w:rsidDel="00000000" w:rsidR="00000000" w:rsidRPr="00000000">
        <w:rPr>
          <w:b w:val="1"/>
          <w:rtl w:val="0"/>
        </w:rPr>
        <w:t xml:space="preserve">II.  Approval of 2018 minutes</w:t>
      </w:r>
      <w:r w:rsidDel="00000000" w:rsidR="00000000" w:rsidRPr="00000000">
        <w:rPr>
          <w:rtl w:val="0"/>
        </w:rPr>
        <w:t xml:space="preserve"> (past secretary, Nick Tatum) </w:t>
      </w:r>
      <w:r w:rsidDel="00000000" w:rsidR="00000000" w:rsidRPr="00000000">
        <w:rPr>
          <w:color w:val="1f497d"/>
          <w:rtl w:val="0"/>
        </w:rPr>
        <w:t xml:space="preserve">Motioned by Nick Tatum, move to approve by Kyle Rudick, approved and passed.</w:t>
      </w:r>
    </w:p>
    <w:p w:rsidR="00000000" w:rsidDel="00000000" w:rsidP="00000000" w:rsidRDefault="00000000" w:rsidRPr="00000000" w14:paraId="0000000F">
      <w:pPr>
        <w:rPr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III.  Early Announcements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Deborah Ford, 2020 conference?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No one came to discuss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Someone to speak about </w:t>
      </w: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Communication Course Annual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Recruiting New Editor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Someone to speak about </w:t>
      </w: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Course Director’s Conference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It’s in Sioux Falls, SD; May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IV.  Conference report </w:t>
      </w:r>
      <w:r w:rsidDel="00000000" w:rsidR="00000000" w:rsidRPr="00000000">
        <w:rPr>
          <w:rtl w:val="0"/>
        </w:rPr>
        <w:t xml:space="preserve">(Sandy Pensoneau-Conway)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Submission specifics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17 papers submitted + 1 transferred to us, 10 panels submitted, 1 paper panel submitted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72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64% acceptance rate papers, 73% acceptance rate panels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 co-sponsored panels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18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top panel was co-sponsored with Ethics, Activism, and Social Justice Interest Group (on our tab)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18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Sponsored one panel with Interpersonal/Family Comm Interest Group (on their tab)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18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Sponsored one panel with the Women’s Caucus (on their tab)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Previous years’ total submissions: 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2019: 28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2018:  26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2017:  36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2016: 42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2015: 31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2014: 25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2013:  33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2012:  36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2011:  42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b w:val="1"/>
          <w:rtl w:val="0"/>
        </w:rPr>
        <w:t xml:space="preserve">V.  THANK YOU to reviewers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 was able to really spread out the reviews thanks to those of you who agreed to review.    I really worked to make sure that  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one had more than two reviews to complete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grad students and part-time faculty only completed one review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only people who had two papers were associate professors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methodology of the paper/topic of the paper/topic of the panel seemed appropriate to the reviewers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MOSTLY happened, but it’s because so many folks willingly stepped up to review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  <w:sectPr>
          <w:pgSz w:h="15840" w:w="12240"/>
          <w:pgMar w:bottom="1440" w:top="1440" w:left="1800" w:right="1800" w:header="720" w:footer="720"/>
          <w:pgNumType w:start="1"/>
          <w:cols w:equalWidth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Abigail Gibbs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Ahmet Atay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Allison Brenneise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Angela Duggins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Anna Wilcoxen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Aubrey Huber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Austin Fleming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Carissa Hoelscher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Caroline Waldbuesser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Cyndi Grobmeier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Dakota Horn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Deanna Fassett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Derek Bolen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Dianah McGreehan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Irwin Mallin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Jen Bender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Joe Mazer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Jonna Ziniel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Jordan Atkinson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Joy Daggs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Kat Golsan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Kate Hooper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Kathy Denker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Kayle Rausch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Kevin McCarty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Kevin Meyer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Kim Chandler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Kim Weissmann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Laura Bruns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Marlina Davidson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Nick Romerhausen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Richard Murphy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Richard Soller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Rob Sidelinger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Robert Hall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Samantha Dunn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Sarah Wolter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Stevie Munz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Susan Kilgard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Tao Zhang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Tiffany Wang</w:t>
      </w:r>
    </w:p>
    <w:p w:rsidR="00000000" w:rsidDel="00000000" w:rsidP="00000000" w:rsidRDefault="00000000" w:rsidRPr="00000000" w14:paraId="0000005D">
      <w:pPr>
        <w:rPr/>
        <w:sectPr>
          <w:type w:val="continuous"/>
          <w:pgSz w:h="15840" w:w="12240"/>
          <w:pgMar w:bottom="1440" w:top="1440" w:left="1800" w:right="1800" w:header="72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We have $100 to use as program planner, and rather than split this amongst all of the reviewers, I decided to award $50 to top panel and $50 to top paper.  The top panel panelists decided to donate the $50 to the CSCA John T. Warren Mentorship Award Fund, and the top paper authors decided to give the $50 to the grad student author.  </w:t>
      </w:r>
      <w:r w:rsidDel="00000000" w:rsidR="00000000" w:rsidRPr="00000000">
        <w:rPr>
          <w:rtl w:val="0"/>
        </w:rPr>
        <w:t xml:space="preserve">☺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b w:val="1"/>
          <w:rtl w:val="0"/>
        </w:rPr>
        <w:t xml:space="preserve">VI.  Awards</w:t>
      </w:r>
      <w:r w:rsidDel="00000000" w:rsidR="00000000" w:rsidRPr="00000000">
        <w:rPr>
          <w:rtl w:val="0"/>
        </w:rPr>
        <w:t xml:space="preserve"> (Sandy Pensoneau-Conway)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 Top Paper in Communication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Brandi Frisby, University of Kentucky; Rob Sidelinger, Oakland University; Nick Tatum, Abilene Christian University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“Alumni Recollections of Interactions with Instructors and Current Organizational Identification, Commitment, and Support of the University”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 Gustav Friedrich Award Recipient for Top Student Paper in Communication Education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(Top Graduate Debut Paper)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Nate Brophy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“The Effects of Instructors Discussing Alcohol in the Classroom on Student Perceptions of their Instructor”</w:t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2019 Top Competitive Panel in Communication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Nic Zoffel, Sierra College/edoptics; Deanna Fassett, San Jose State University; Ahmet Atay, College of Wooster; Diana Woodhouse, College of Southern Nevada; Meggie Mapes, University of Kansas; and Dave Kahl, Penn State Erie, The Behrend College 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“Teachers’ Use of Dialogue as Advocacy and Praxis” 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b w:val="1"/>
          <w:rtl w:val="0"/>
        </w:rPr>
        <w:t xml:space="preserve">VII.  New business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It’s an endowed award.  </w:t>
      </w:r>
      <w:r w:rsidDel="00000000" w:rsidR="00000000" w:rsidRPr="00000000">
        <w:rPr>
          <w:color w:val="1f497d"/>
          <w:rtl w:val="0"/>
        </w:rPr>
        <w:t xml:space="preserve">Bylaws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 – sent out last year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Passing of gavel from Sandy Pensoneau-Conway to Nick Tatum 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Secretary election (Nick Tatum/Sandy Pensoneau-Conway)—will plan 2022 conference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Open to nominations: Allison Brenneise; motion to close Kyle Rudick; second Sandra Pensoneau-Conway; passed by acclimation Kyle Rudick and Scott Meyers;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 of 2020 conference (Nick Tatum)</w:t>
        <w:br w:type="textWrapping"/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Borders and Breakthroughs-- slots same as last year; 10 slots; big division: Possible ideas: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History – conversation regarding distinctions &amp; differences; between divisions: 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18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Basic Course, Communication Education, &amp; Instructional Resources.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18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Distinctions: three journals as well; special editors; old discussion;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18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Instructional com and com ed, ed psyc, critical work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numPr>
          <w:ilvl w:val="2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18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breakthroughs in areas we have researched out to (Nick Tatum)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Understand differences in gender identification (Sandra Pensoneau-Conway)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Com so white – 8% are people of people of color; journal issue; need to address (Kyle Rudick)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Little work with disciplines and scholarship and identifying people; universal design and com pedagogy (Allison Brenneise)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use stats correctly in the first place – the basics (Kyle Rudick &amp; Scott Meyers)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Short course or workshop on basic course syllabi with universe design in mind (Adrienne Viramontes)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Culturally relevant pedagogy and meeting constituent needs (Allison Brenneise &amp; Adrienne Viramontes)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Family Friendly Focus on CSCA – how can we do something – submitted as family friend welcome; something to think about; Checkbox as Family Friendly – check back after we have programming (Sandra Pensoneau-Conway)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Other new business?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Forum section of </w:t>
      </w:r>
      <w:r w:rsidDel="00000000" w:rsidR="00000000" w:rsidRPr="00000000">
        <w:rPr>
          <w:rFonts w:ascii="Avenir" w:cs="Avenir" w:eastAsia="Avenir" w:hAnsi="Avenir"/>
          <w:b w:val="0"/>
          <w:i w:val="1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Communication Education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: mental health, LGBT, Bullying, Those forums are now open access; please share widely (Nick Tatum) 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Announcements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</w:t>
      </w: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1f497d"/>
          <w:sz w:val="22"/>
          <w:szCs w:val="22"/>
          <w:u w:val="none"/>
          <w:shd w:fill="auto" w:val="clear"/>
          <w:vertAlign w:val="baseline"/>
          <w:rtl w:val="0"/>
        </w:rPr>
        <w:t xml:space="preserve">(Kyle Rudick and Kathryn Golsan)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/>
      <w:pgMar w:bottom="1440" w:top="1440" w:left="1800" w:right="1800" w:header="720" w:footer="720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decimal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900" w:hanging="360"/>
      </w:pPr>
      <w:rPr/>
    </w:lvl>
    <w:lvl w:ilvl="2">
      <w:start w:val="1"/>
      <w:numFmt w:val="lowerRoman"/>
      <w:lvlText w:val="%3."/>
      <w:lvlJc w:val="right"/>
      <w:pPr>
        <w:ind w:left="1620" w:hanging="180"/>
      </w:pPr>
      <w:rPr/>
    </w:lvl>
    <w:lvl w:ilvl="3">
      <w:start w:val="1"/>
      <w:numFmt w:val="decimal"/>
      <w:lvlText w:val="%4."/>
      <w:lvlJc w:val="left"/>
      <w:pPr>
        <w:ind w:left="2340" w:hanging="360"/>
      </w:pPr>
      <w:rPr/>
    </w:lvl>
    <w:lvl w:ilvl="4">
      <w:start w:val="1"/>
      <w:numFmt w:val="lowerLetter"/>
      <w:lvlText w:val="%5."/>
      <w:lvlJc w:val="left"/>
      <w:pPr>
        <w:ind w:left="3060" w:hanging="360"/>
      </w:pPr>
      <w:rPr/>
    </w:lvl>
    <w:lvl w:ilvl="5">
      <w:start w:val="1"/>
      <w:numFmt w:val="lowerRoman"/>
      <w:lvlText w:val="%6."/>
      <w:lvlJc w:val="right"/>
      <w:pPr>
        <w:ind w:left="3780" w:hanging="180"/>
      </w:pPr>
      <w:rPr/>
    </w:lvl>
    <w:lvl w:ilvl="6">
      <w:start w:val="1"/>
      <w:numFmt w:val="decimal"/>
      <w:lvlText w:val="%7."/>
      <w:lvlJc w:val="left"/>
      <w:pPr>
        <w:ind w:left="4500" w:hanging="360"/>
      </w:pPr>
      <w:rPr/>
    </w:lvl>
    <w:lvl w:ilvl="7">
      <w:start w:val="1"/>
      <w:numFmt w:val="lowerLetter"/>
      <w:lvlText w:val="%8."/>
      <w:lvlJc w:val="left"/>
      <w:pPr>
        <w:ind w:left="5220" w:hanging="360"/>
      </w:pPr>
      <w:rPr/>
    </w:lvl>
    <w:lvl w:ilvl="8">
      <w:start w:val="1"/>
      <w:numFmt w:val="lowerRoman"/>
      <w:lvlText w:val="%9."/>
      <w:lvlJc w:val="right"/>
      <w:pPr>
        <w:ind w:left="594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-"/>
      <w:lvlJc w:val="left"/>
      <w:pPr>
        <w:ind w:left="2520" w:hanging="180"/>
      </w:pPr>
      <w:rPr>
        <w:rFonts w:ascii="Calibri" w:cs="Calibri" w:eastAsia="Calibri" w:hAnsi="Calibri"/>
      </w:rPr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upperLetter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120" w:lineRule="auto"/>
    </w:pPr>
    <w:rPr>
      <w:rFonts w:ascii="Calibri" w:cs="Calibri" w:eastAsia="Calibri" w:hAnsi="Calibri"/>
      <w:b w:val="1"/>
      <w:color w:val="335b8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